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граждан с инвалидностью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(г. Анадырь, Чукотский автономный округ)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населённый пункт, на территории которых проводятся мероприятия проекта – г. Анадырь, Чукотский автономный округ.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Муниципальное автономное учреждение культуры «</w:t>
      </w:r>
      <w:bookmarkStart w:id="0" w:name="_GoBack"/>
      <w:r>
        <w:rPr>
          <w:color w:val="000000"/>
          <w:sz w:val="27"/>
          <w:szCs w:val="27"/>
        </w:rPr>
        <w:t>Дом народного творчества городского округа Анадырь</w:t>
      </w:r>
      <w:bookmarkEnd w:id="0"/>
      <w:r>
        <w:rPr>
          <w:color w:val="000000"/>
          <w:sz w:val="27"/>
          <w:szCs w:val="27"/>
        </w:rPr>
        <w:t>».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реализующего мероприятие*(музей;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 - культурно-досуговое учреждение.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 – все категории инвалидности.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– инвалиды, дети до 18 лет, лица трудоспособного возраста, пожилые люди.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театральное представление; концерт; экскурсия, иное) – концерт, народное гуляние, театрализованное представление, концертная программа, встреча-концерт, вечер памяти, культурно-массовое мероприятие, фотовыставка, творческий вечер, утренник.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Год (годы) проведения мероприятия – 2018/2019 </w:t>
      </w:r>
      <w:proofErr w:type="spellStart"/>
      <w:r>
        <w:rPr>
          <w:color w:val="000000"/>
          <w:sz w:val="27"/>
          <w:szCs w:val="27"/>
        </w:rPr>
        <w:t>г.г</w:t>
      </w:r>
      <w:proofErr w:type="spellEnd"/>
      <w:r>
        <w:rPr>
          <w:color w:val="000000"/>
          <w:sz w:val="27"/>
          <w:szCs w:val="27"/>
        </w:rPr>
        <w:t>.;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– 16 141 человек.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– услуги сопровождения, материалы по Брайлю.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– отсутствуют.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 – возможность повторения.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Достигнутый социальный эффект от реализации мероприятия – вовлечение большего количества людей с инвалидность в культурную-досуговую жизнь, обеспечение доступности мероприятий. 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 www.dnt87.ru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54 230 руб., в том числе: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счет средств бюджетов всех уровней: 0 тыс. руб.,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счет внебюджетных средств 54 230 руб.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- Чукотская региональная детско-молодежная общественная танцевальная организация «Фристайл».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 в Муниципальном автономном учреждении культуры «</w:t>
      </w:r>
      <w:proofErr w:type="spellStart"/>
      <w:r>
        <w:rPr>
          <w:color w:val="000000"/>
          <w:sz w:val="27"/>
          <w:szCs w:val="27"/>
        </w:rPr>
        <w:t>Билибинский</w:t>
      </w:r>
      <w:proofErr w:type="spellEnd"/>
      <w:r>
        <w:rPr>
          <w:color w:val="000000"/>
          <w:sz w:val="27"/>
          <w:szCs w:val="27"/>
        </w:rPr>
        <w:t xml:space="preserve"> районный краеведческий музей имени Г.С. Глазырина»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(г. </w:t>
      </w:r>
      <w:proofErr w:type="spellStart"/>
      <w:r>
        <w:rPr>
          <w:color w:val="000000"/>
          <w:sz w:val="27"/>
          <w:szCs w:val="27"/>
        </w:rPr>
        <w:t>Билибино</w:t>
      </w:r>
      <w:proofErr w:type="spellEnd"/>
      <w:r>
        <w:rPr>
          <w:color w:val="000000"/>
          <w:sz w:val="27"/>
          <w:szCs w:val="27"/>
        </w:rPr>
        <w:t>, Чукотский автономный округ)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Чукотский автономный округ. </w:t>
      </w:r>
      <w:proofErr w:type="spellStart"/>
      <w:r>
        <w:rPr>
          <w:color w:val="000000"/>
          <w:sz w:val="27"/>
          <w:szCs w:val="27"/>
        </w:rPr>
        <w:t>Билибинский</w:t>
      </w:r>
      <w:proofErr w:type="spellEnd"/>
      <w:r>
        <w:rPr>
          <w:color w:val="000000"/>
          <w:sz w:val="27"/>
          <w:szCs w:val="27"/>
        </w:rPr>
        <w:t xml:space="preserve"> район, г. </w:t>
      </w:r>
      <w:proofErr w:type="spellStart"/>
      <w:r>
        <w:rPr>
          <w:color w:val="000000"/>
          <w:sz w:val="27"/>
          <w:szCs w:val="27"/>
        </w:rPr>
        <w:t>Билибино</w:t>
      </w:r>
      <w:proofErr w:type="spellEnd"/>
      <w:r>
        <w:rPr>
          <w:color w:val="000000"/>
          <w:sz w:val="27"/>
          <w:szCs w:val="27"/>
        </w:rPr>
        <w:t>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автономное учреждение культуры «</w:t>
      </w:r>
      <w:proofErr w:type="spellStart"/>
      <w:r>
        <w:rPr>
          <w:color w:val="000000"/>
          <w:sz w:val="27"/>
          <w:szCs w:val="27"/>
        </w:rPr>
        <w:t>Билибинский</w:t>
      </w:r>
      <w:proofErr w:type="spellEnd"/>
      <w:r>
        <w:rPr>
          <w:color w:val="000000"/>
          <w:sz w:val="27"/>
          <w:szCs w:val="27"/>
        </w:rPr>
        <w:t xml:space="preserve"> районный краеведческий музей имени Г.С. Глазырина».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Краеведческий музей.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Категории людей с ограниченными возможностями здоровья (инвалидов): инвалиды 1 группы, 2 группы, 3 группы, лица с нарушениями функций опорно-двигательного аппарата (инвалиды-колясочники), лица с нарушением слуха, лица с нарушением зрения.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Обеспечена доступность музейных услуг и музейных фондов для всех возрастных категорий жителей района.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 2017 года, МАУК «</w:t>
      </w:r>
      <w:proofErr w:type="spellStart"/>
      <w:r>
        <w:rPr>
          <w:color w:val="000000"/>
          <w:sz w:val="27"/>
          <w:szCs w:val="27"/>
        </w:rPr>
        <w:t>Билибинский</w:t>
      </w:r>
      <w:proofErr w:type="spellEnd"/>
      <w:r>
        <w:rPr>
          <w:color w:val="000000"/>
          <w:sz w:val="27"/>
          <w:szCs w:val="27"/>
        </w:rPr>
        <w:t xml:space="preserve"> районный краеведческий музей им. Г. С. Глазырина» благодаря филиалу ОАО «Концерн Росэнергоатом» «</w:t>
      </w:r>
      <w:proofErr w:type="spellStart"/>
      <w:r>
        <w:rPr>
          <w:color w:val="000000"/>
          <w:sz w:val="27"/>
          <w:szCs w:val="27"/>
        </w:rPr>
        <w:t>Билибинская</w:t>
      </w:r>
      <w:proofErr w:type="spellEnd"/>
      <w:r>
        <w:rPr>
          <w:color w:val="000000"/>
          <w:sz w:val="27"/>
          <w:szCs w:val="27"/>
        </w:rPr>
        <w:t xml:space="preserve"> атомная станция», который оказал спонсорскую поддержку по выделению средств на закупку дорогостоящего оборудования, плодотворно реализовывает проект «Музей без границ». Данный проект расширяет и активизирует </w:t>
      </w:r>
      <w:r>
        <w:rPr>
          <w:color w:val="000000"/>
          <w:sz w:val="27"/>
          <w:szCs w:val="27"/>
        </w:rPr>
        <w:lastRenderedPageBreak/>
        <w:t xml:space="preserve">возможности в работе музея, позволяет доносить до людей важную информацию. У сотрудников музея есть возможность с ноября и до апреля радовать жителей и гостей города интерактивными выставками, информацией о предстоящих в музее мероприятиях, акциях, конкурсах. В 2018 году </w:t>
      </w:r>
      <w:proofErr w:type="spellStart"/>
      <w:r>
        <w:rPr>
          <w:color w:val="000000"/>
          <w:sz w:val="27"/>
          <w:szCs w:val="27"/>
        </w:rPr>
        <w:t>Билибинский</w:t>
      </w:r>
      <w:proofErr w:type="spellEnd"/>
      <w:r>
        <w:rPr>
          <w:color w:val="000000"/>
          <w:sz w:val="27"/>
          <w:szCs w:val="27"/>
        </w:rPr>
        <w:t xml:space="preserve"> музей принял участие в открытом конкурсе среди некоммерческих организаций по разработке и реализации социально значимых проектов, который проводился </w:t>
      </w:r>
      <w:proofErr w:type="spellStart"/>
      <w:r>
        <w:rPr>
          <w:color w:val="000000"/>
          <w:sz w:val="27"/>
          <w:szCs w:val="27"/>
        </w:rPr>
        <w:t>Госкорпорацией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Росатом</w:t>
      </w:r>
      <w:proofErr w:type="spellEnd"/>
      <w:r>
        <w:rPr>
          <w:color w:val="000000"/>
          <w:sz w:val="27"/>
          <w:szCs w:val="27"/>
        </w:rPr>
        <w:t>». Для участия в конкурсе был представлен проект «Доступная среда для людей с ограниченными возможностями здоровья». Благодаря получению гранта и реализации проекта МАУК «</w:t>
      </w:r>
      <w:proofErr w:type="spellStart"/>
      <w:r>
        <w:rPr>
          <w:color w:val="000000"/>
          <w:sz w:val="27"/>
          <w:szCs w:val="27"/>
        </w:rPr>
        <w:t>Билибинский</w:t>
      </w:r>
      <w:proofErr w:type="spellEnd"/>
      <w:r>
        <w:rPr>
          <w:color w:val="000000"/>
          <w:sz w:val="27"/>
          <w:szCs w:val="27"/>
        </w:rPr>
        <w:t xml:space="preserve"> районный краеведческий музей имени Г.С. Глазырина» оснащен информационным киоском с программным обеспечением для инвалидов, кнопкой вызова помощника, лестничным подъемником гусеничного типа, оборудованием в лекционный зал музея для инвалидов по слуху, табличками на Брайле с наименованием залов музея, аудиогидами и т.д. </w:t>
      </w:r>
      <w:proofErr w:type="spellStart"/>
      <w:r>
        <w:rPr>
          <w:color w:val="000000"/>
          <w:sz w:val="27"/>
          <w:szCs w:val="27"/>
        </w:rPr>
        <w:t>Билибинский</w:t>
      </w:r>
      <w:proofErr w:type="spellEnd"/>
      <w:r>
        <w:rPr>
          <w:color w:val="000000"/>
          <w:sz w:val="27"/>
          <w:szCs w:val="27"/>
        </w:rPr>
        <w:t xml:space="preserve"> музей, единственный на Чукотке, уже 2 года подряд становится участником Всероссийской инклюзивной акции «Музей для всех», которая проходит в декабре. В эти дни двери музея были открыты для всех, не только для посетителей с инвалидностью, их семей, друзей, но и всех желающих. Задача этой акции – привлечь внимание широкой общественности к значимости равноправного участия всех людей в культурной жизни. Для всех желающих проводились экскурсии по стационарным и временным экспозициям музея. В преддверие Международного дня инвалидов, который отмечается 3 декабря, сотрудниками музея проводится уличная трансляция интерактивной выставки «Музей для всех!».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2017-2019 гг.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Более 500 чел.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Кнопка вызова помощника, информационный киоск с программным обеспечением для инвалидов, установленные в музее знаки доступности, оборудование санитарной комнаты адаптационными приспособлениями для разных категорий инвалидов, аудиогид с зарядным устройством для инвалидов по слуху, лестничный подъемник гусеничного типа, информационное табло (мнемосхема) на входе об услугах в формате, доступном для инвалидов, установлена не скользящая желтая, тактильная лента, установлены таблички Брайля с наименованием залов музея, установлены таблички направления движения.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Сенсорные технологии, аудиогид.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Социокультурная практика, обеспечивающая доступность участия граждан с инвалидность в Муниципальном автономном учреждении культуры «</w:t>
      </w:r>
      <w:proofErr w:type="spellStart"/>
      <w:r>
        <w:rPr>
          <w:color w:val="000000"/>
          <w:sz w:val="27"/>
          <w:szCs w:val="27"/>
        </w:rPr>
        <w:t>Билибинский</w:t>
      </w:r>
      <w:proofErr w:type="spellEnd"/>
      <w:r>
        <w:rPr>
          <w:color w:val="000000"/>
          <w:sz w:val="27"/>
          <w:szCs w:val="27"/>
        </w:rPr>
        <w:t xml:space="preserve"> районный краеведческий музей имени Г.С. Глазырина» имеет долгосрочный характер и ориентирована на дальнейшее развитие и углубление. Планируется проведение новых мероприятий. В планах сотрудников создать </w:t>
      </w:r>
      <w:r>
        <w:rPr>
          <w:color w:val="000000"/>
          <w:sz w:val="27"/>
          <w:szCs w:val="27"/>
        </w:rPr>
        <w:lastRenderedPageBreak/>
        <w:t xml:space="preserve">условия для возможности посещения музея инвалидами не только из города </w:t>
      </w:r>
      <w:proofErr w:type="spellStart"/>
      <w:r>
        <w:rPr>
          <w:color w:val="000000"/>
          <w:sz w:val="27"/>
          <w:szCs w:val="27"/>
        </w:rPr>
        <w:t>Билибино</w:t>
      </w:r>
      <w:proofErr w:type="spellEnd"/>
      <w:r>
        <w:rPr>
          <w:color w:val="000000"/>
          <w:sz w:val="27"/>
          <w:szCs w:val="27"/>
        </w:rPr>
        <w:t xml:space="preserve">, но и всего </w:t>
      </w:r>
      <w:proofErr w:type="spellStart"/>
      <w:r>
        <w:rPr>
          <w:color w:val="000000"/>
          <w:sz w:val="27"/>
          <w:szCs w:val="27"/>
        </w:rPr>
        <w:t>Билибинского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Реализация мероприятий значительно расширила доступность музея для людей с особыми потребностями, улучшилось качество предоставляемых услуг, данная категория посетителей получает практические навыки общения и возможность социализации.</w:t>
      </w:r>
    </w:p>
    <w:p w:rsidR="00760676" w:rsidRDefault="00760676" w:rsidP="007606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Все мероприятия, организовываемые и проводимые в </w:t>
      </w:r>
      <w:proofErr w:type="spellStart"/>
      <w:r>
        <w:rPr>
          <w:color w:val="000000"/>
          <w:sz w:val="27"/>
          <w:szCs w:val="27"/>
        </w:rPr>
        <w:t>Билибинском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районном краеведческом музее</w:t>
      </w:r>
      <w:proofErr w:type="gramEnd"/>
      <w:r>
        <w:rPr>
          <w:color w:val="000000"/>
          <w:sz w:val="27"/>
          <w:szCs w:val="27"/>
        </w:rPr>
        <w:t xml:space="preserve"> освещаются в местных средствах массовой информации (</w:t>
      </w:r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76"/>
    <w:rsid w:val="00760676"/>
    <w:rsid w:val="007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3AB68-CF90-4321-91C2-A6F20B1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2019-07-30T11:48:00Z</dcterms:created>
  <dcterms:modified xsi:type="dcterms:W3CDTF">2019-07-30T11:57:00Z</dcterms:modified>
</cp:coreProperties>
</file>